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3F" w:rsidRDefault="00B76BE0">
      <w:pPr>
        <w:jc w:val="center"/>
        <w:rPr>
          <w:rFonts w:hint="eastAsia"/>
        </w:rPr>
      </w:pPr>
      <w:r>
        <w:t>HUM 2305 Review Terms and Themes</w:t>
      </w:r>
    </w:p>
    <w:p w:rsidR="0027173F" w:rsidRDefault="00B76BE0">
      <w:pPr>
        <w:jc w:val="center"/>
        <w:rPr>
          <w:rFonts w:hint="eastAsia"/>
        </w:rPr>
      </w:pPr>
      <w:r>
        <w:t>Dr. Kesling's Sections</w:t>
      </w:r>
    </w:p>
    <w:p w:rsidR="0027173F" w:rsidRDefault="0027173F">
      <w:pPr>
        <w:jc w:val="center"/>
        <w:rPr>
          <w:rFonts w:hint="eastAsia"/>
        </w:rPr>
      </w:pPr>
    </w:p>
    <w:p w:rsidR="0027173F" w:rsidRDefault="00B76BE0">
      <w:pPr>
        <w:jc w:val="center"/>
        <w:rPr>
          <w:rFonts w:hint="eastAsia"/>
          <w:b/>
          <w:bCs/>
        </w:rPr>
      </w:pPr>
      <w:r>
        <w:rPr>
          <w:b/>
          <w:bCs/>
        </w:rPr>
        <w:t>Terms</w:t>
      </w:r>
    </w:p>
    <w:tbl>
      <w:tblPr>
        <w:tblW w:w="0" w:type="auto"/>
        <w:tblInd w:w="55" w:type="dxa"/>
        <w:tblBorders>
          <w:top w:val="nil"/>
          <w:left w:val="nil"/>
          <w:bottom w:val="nil"/>
          <w:right w:val="nil"/>
          <w:insideH w:val="nil"/>
          <w:insideV w:val="nil"/>
        </w:tblBorders>
        <w:tblCellMar>
          <w:top w:w="55" w:type="dxa"/>
          <w:left w:w="55" w:type="dxa"/>
          <w:bottom w:w="55" w:type="dxa"/>
          <w:right w:w="55" w:type="dxa"/>
        </w:tblCellMar>
        <w:tblLook w:val="04A0" w:firstRow="1" w:lastRow="0" w:firstColumn="1" w:lastColumn="0" w:noHBand="0" w:noVBand="1"/>
      </w:tblPr>
      <w:tblGrid>
        <w:gridCol w:w="4985"/>
        <w:gridCol w:w="4985"/>
      </w:tblGrid>
      <w:tr w:rsidR="0027173F">
        <w:trPr>
          <w:trHeight w:val="7827"/>
        </w:trPr>
        <w:tc>
          <w:tcPr>
            <w:tcW w:w="4985" w:type="dxa"/>
            <w:tcBorders>
              <w:top w:val="nil"/>
              <w:left w:val="nil"/>
              <w:bottom w:val="nil"/>
              <w:right w:val="nil"/>
            </w:tcBorders>
            <w:shd w:val="clear" w:color="auto" w:fill="FFFFFF"/>
          </w:tcPr>
          <w:p w:rsidR="0027173F" w:rsidRDefault="00B76BE0">
            <w:pPr>
              <w:rPr>
                <w:rFonts w:hint="eastAsia"/>
              </w:rPr>
            </w:pPr>
            <w:r>
              <w:t>Aristotle</w:t>
            </w:r>
          </w:p>
          <w:p w:rsidR="0027173F" w:rsidRDefault="00B76BE0">
            <w:pPr>
              <w:rPr>
                <w:rFonts w:hint="eastAsia"/>
              </w:rPr>
            </w:pPr>
            <w:r>
              <w:t>Asceticism</w:t>
            </w:r>
            <w:r>
              <w:br/>
              <w:t>“a hundred visions and revisions”</w:t>
            </w:r>
          </w:p>
          <w:p w:rsidR="0027173F" w:rsidRDefault="00B76BE0">
            <w:pPr>
              <w:rPr>
                <w:rFonts w:hint="eastAsia"/>
              </w:rPr>
            </w:pPr>
            <w:r>
              <w:t>“art and love take time”</w:t>
            </w:r>
            <w:r>
              <w:br/>
              <w:t>Attachment</w:t>
            </w:r>
          </w:p>
          <w:p w:rsidR="0027173F" w:rsidRDefault="00B76BE0">
            <w:pPr>
              <w:rPr>
                <w:rFonts w:hint="eastAsia"/>
              </w:rPr>
            </w:pPr>
            <w:r>
              <w:t>Brahmins</w:t>
            </w:r>
            <w:r>
              <w:br/>
              <w:t>Civil Disobedience</w:t>
            </w:r>
            <w:r>
              <w:br/>
              <w:t>Cleobus</w:t>
            </w:r>
            <w:r>
              <w:br/>
              <w:t>Conservation</w:t>
            </w:r>
            <w:r>
              <w:br/>
              <w:t>Cyclone Tracy</w:t>
            </w:r>
            <w:r>
              <w:br/>
              <w:t xml:space="preserve">“Death is the mother of beauty.” </w:t>
            </w:r>
            <w:r>
              <w:br/>
              <w:t>Dorian Grey</w:t>
            </w:r>
            <w:r>
              <w:br/>
              <w:t>Dreamings</w:t>
            </w:r>
            <w:r>
              <w:br/>
              <w:t>Eudaimonia</w:t>
            </w:r>
            <w:r>
              <w:br/>
              <w:t>Faustian Bargain</w:t>
            </w:r>
            <w:r>
              <w:br/>
              <w:t>Ferryman</w:t>
            </w:r>
            <w:r>
              <w:br/>
              <w:t>Hedonism</w:t>
            </w:r>
            <w:r>
              <w:br/>
              <w:t>Hedonistic Treadmill</w:t>
            </w:r>
            <w:r>
              <w:br/>
              <w:t>Herodotus</w:t>
            </w:r>
            <w:r>
              <w:br/>
              <w:t>“I love to be alone”</w:t>
            </w:r>
            <w:r>
              <w:br/>
              <w:t>Jack Ryan</w:t>
            </w:r>
            <w:r>
              <w:br/>
              <w:t>Journey/Path</w:t>
            </w:r>
            <w:r>
              <w:br/>
              <w:t>Just Laws</w:t>
            </w:r>
          </w:p>
          <w:p w:rsidR="0027173F" w:rsidRDefault="00B76BE0">
            <w:pPr>
              <w:rPr>
                <w:rFonts w:hint="eastAsia"/>
              </w:rPr>
            </w:pPr>
            <w:r>
              <w:t>Karma</w:t>
            </w:r>
          </w:p>
        </w:tc>
        <w:tc>
          <w:tcPr>
            <w:tcW w:w="4985" w:type="dxa"/>
            <w:tcBorders>
              <w:top w:val="nil"/>
              <w:left w:val="single" w:sz="2" w:space="0" w:color="000001"/>
              <w:bottom w:val="nil"/>
              <w:right w:val="nil"/>
            </w:tcBorders>
            <w:shd w:val="clear" w:color="auto" w:fill="FFFFFF"/>
            <w:tcMar>
              <w:left w:w="48" w:type="dxa"/>
            </w:tcMar>
          </w:tcPr>
          <w:p w:rsidR="0027173F" w:rsidRDefault="00B76BE0" w:rsidP="001420AD">
            <w:pPr>
              <w:rPr>
                <w:rFonts w:hint="eastAsia"/>
              </w:rPr>
            </w:pPr>
            <w:r>
              <w:t>“Kitchenism”</w:t>
            </w:r>
            <w:r>
              <w:br/>
              <w:t>Kreon</w:t>
            </w:r>
            <w:r>
              <w:br/>
              <w:t>Krishna</w:t>
            </w:r>
            <w:r>
              <w:br/>
              <w:t>Land Ethic</w:t>
            </w:r>
            <w:r>
              <w:br/>
              <w:t>Loggia</w:t>
            </w:r>
            <w:r>
              <w:br/>
              <w:t>Om</w:t>
            </w:r>
            <w:r>
              <w:br/>
              <w:t>Original Position</w:t>
            </w:r>
            <w:r>
              <w:br/>
              <w:t>Overuse</w:t>
            </w:r>
            <w:r>
              <w:br/>
              <w:t>Prince Arjuna</w:t>
            </w:r>
            <w:r>
              <w:br/>
              <w:t>Meditation</w:t>
            </w:r>
            <w:r>
              <w:br/>
              <w:t>Meritocratic System</w:t>
            </w:r>
            <w:r>
              <w:br/>
              <w:t>Ngurrara I and II</w:t>
            </w:r>
            <w:r>
              <w:br/>
              <w:t>Roger Fry</w:t>
            </w:r>
            <w:r>
              <w:br/>
              <w:t>Sabbath</w:t>
            </w:r>
            <w:r>
              <w:br/>
              <w:t>Solon</w:t>
            </w:r>
            <w:r>
              <w:br/>
              <w:t>The Greenbelt Movement International</w:t>
            </w:r>
            <w:r>
              <w:br/>
              <w:t>The Maggie’s Centres</w:t>
            </w:r>
            <w:r>
              <w:br/>
              <w:t xml:space="preserve">Transcendentalism </w:t>
            </w:r>
            <w:r>
              <w:br/>
            </w:r>
            <w:r w:rsidR="00B5220C">
              <w:t>Unjust Laws</w:t>
            </w:r>
            <w:r w:rsidR="00B5220C">
              <w:br/>
              <w:t>Utilitarianism</w:t>
            </w:r>
            <w:r w:rsidR="00B5220C">
              <w:br/>
            </w:r>
            <w:r>
              <w:t>Veil of Ignorance</w:t>
            </w:r>
          </w:p>
        </w:tc>
      </w:tr>
    </w:tbl>
    <w:p w:rsidR="0027173F" w:rsidRDefault="0027173F">
      <w:pPr>
        <w:jc w:val="center"/>
        <w:rPr>
          <w:rFonts w:hint="eastAsia"/>
        </w:rPr>
      </w:pPr>
    </w:p>
    <w:p w:rsidR="0027173F" w:rsidRDefault="00B76BE0">
      <w:pPr>
        <w:jc w:val="center"/>
        <w:rPr>
          <w:rFonts w:hint="eastAsia"/>
          <w:b/>
          <w:bCs/>
        </w:rPr>
      </w:pPr>
      <w:r>
        <w:rPr>
          <w:b/>
          <w:bCs/>
        </w:rPr>
        <w:t>Themes</w:t>
      </w:r>
    </w:p>
    <w:p w:rsidR="0027173F" w:rsidRDefault="0027173F">
      <w:pPr>
        <w:jc w:val="center"/>
        <w:rPr>
          <w:rFonts w:hint="eastAsia"/>
        </w:rPr>
      </w:pPr>
    </w:p>
    <w:p w:rsidR="0027173F" w:rsidRDefault="00B76BE0">
      <w:pPr>
        <w:spacing w:line="480" w:lineRule="auto"/>
        <w:rPr>
          <w:rFonts w:hint="eastAsia"/>
        </w:rPr>
      </w:pPr>
      <w:r>
        <w:t>The role of the spiritual or religion in finding the Good Life.</w:t>
      </w:r>
    </w:p>
    <w:p w:rsidR="0027173F" w:rsidRDefault="00B76BE0">
      <w:pPr>
        <w:spacing w:line="480" w:lineRule="auto"/>
        <w:rPr>
          <w:rFonts w:hint="eastAsia"/>
        </w:rPr>
      </w:pPr>
      <w:r>
        <w:t>The role of art and music in enhancing the Good Life.</w:t>
      </w:r>
    </w:p>
    <w:p w:rsidR="0027173F" w:rsidRDefault="00B76BE0">
      <w:pPr>
        <w:spacing w:line="480" w:lineRule="auto"/>
        <w:rPr>
          <w:rFonts w:hint="eastAsia"/>
        </w:rPr>
      </w:pPr>
      <w:r>
        <w:t>The role of architecture and construction in enhancing the Good Life.</w:t>
      </w:r>
    </w:p>
    <w:p w:rsidR="0027173F" w:rsidRDefault="00B76BE0">
      <w:pPr>
        <w:spacing w:line="480" w:lineRule="auto"/>
        <w:rPr>
          <w:rFonts w:hint="eastAsia"/>
        </w:rPr>
      </w:pPr>
      <w:r>
        <w:t>The role of imagination and creativity in sustaining the Good Life.</w:t>
      </w:r>
    </w:p>
    <w:p w:rsidR="0027173F" w:rsidRDefault="00B76BE0">
      <w:pPr>
        <w:spacing w:line="480" w:lineRule="auto"/>
        <w:rPr>
          <w:rFonts w:hint="eastAsia"/>
        </w:rPr>
      </w:pPr>
      <w:r>
        <w:t>The role of luck in seeking the Good Life.</w:t>
      </w:r>
    </w:p>
    <w:p w:rsidR="0027173F" w:rsidRDefault="00B76BE0">
      <w:pPr>
        <w:spacing w:line="480" w:lineRule="auto"/>
        <w:rPr>
          <w:rFonts w:hint="eastAsia"/>
        </w:rPr>
      </w:pPr>
      <w:r>
        <w:t>The role of just laws and societal organizations in governing the Good Life.</w:t>
      </w:r>
    </w:p>
    <w:p w:rsidR="0027173F" w:rsidRDefault="00B76BE0">
      <w:pPr>
        <w:spacing w:line="480" w:lineRule="auto"/>
        <w:rPr>
          <w:rFonts w:hint="eastAsia"/>
        </w:rPr>
      </w:pPr>
      <w:r>
        <w:t xml:space="preserve">The role of happiness in perpetuating the Good Life.  </w:t>
      </w:r>
    </w:p>
    <w:p w:rsidR="00B5220C" w:rsidRDefault="00B5220C">
      <w:pPr>
        <w:spacing w:line="480" w:lineRule="auto"/>
        <w:rPr>
          <w:rFonts w:hint="eastAsia"/>
        </w:rPr>
      </w:pPr>
    </w:p>
    <w:p w:rsidR="00B5220C" w:rsidRPr="00585B1C" w:rsidRDefault="00B5220C" w:rsidP="00B5220C">
      <w:pPr>
        <w:pStyle w:val="PlainText"/>
        <w:rPr>
          <w:sz w:val="24"/>
          <w:szCs w:val="24"/>
        </w:rPr>
      </w:pPr>
      <w:r w:rsidRPr="00585B1C">
        <w:rPr>
          <w:sz w:val="24"/>
          <w:szCs w:val="24"/>
        </w:rPr>
        <w:t>In seve</w:t>
      </w:r>
      <w:r w:rsidR="001420AD">
        <w:rPr>
          <w:sz w:val="24"/>
          <w:szCs w:val="24"/>
        </w:rPr>
        <w:t>ral readings for the second week of this class</w:t>
      </w:r>
      <w:r w:rsidRPr="00585B1C">
        <w:rPr>
          <w:sz w:val="24"/>
          <w:szCs w:val="24"/>
        </w:rPr>
        <w:t xml:space="preserve">, the establishment, defense, and preservation of the Good Life have been the key points of discussion. These elements suggest a cost or sacrifice for the communal good or betterment. Is there a cost to the Good Life? </w:t>
      </w:r>
      <w:r w:rsidR="001420AD">
        <w:rPr>
          <w:sz w:val="24"/>
          <w:szCs w:val="24"/>
        </w:rPr>
        <w:br/>
      </w:r>
      <w:r w:rsidRPr="00585B1C">
        <w:rPr>
          <w:sz w:val="24"/>
          <w:szCs w:val="24"/>
        </w:rPr>
        <w:t>Select two readings and discuss how each depicts, or rejects, self-sacrifice or self-limitation for the public good. Readings to consider include, but are not limited to: Antigone, Letter from the Birmingham Jail, Rawl's Original Position</w:t>
      </w:r>
      <w:proofErr w:type="gramStart"/>
      <w:r w:rsidRPr="00585B1C">
        <w:rPr>
          <w:sz w:val="24"/>
          <w:szCs w:val="24"/>
        </w:rPr>
        <w:t>, ,</w:t>
      </w:r>
      <w:proofErr w:type="gramEnd"/>
      <w:r w:rsidRPr="00585B1C">
        <w:rPr>
          <w:sz w:val="24"/>
          <w:szCs w:val="24"/>
        </w:rPr>
        <w:t xml:space="preserve"> The Land Ethic</w:t>
      </w:r>
      <w:r w:rsidR="001420AD">
        <w:rPr>
          <w:sz w:val="24"/>
          <w:szCs w:val="24"/>
        </w:rPr>
        <w:t xml:space="preserve"> (from lecture)</w:t>
      </w:r>
      <w:r w:rsidRPr="00585B1C">
        <w:rPr>
          <w:sz w:val="24"/>
          <w:szCs w:val="24"/>
        </w:rPr>
        <w:t>, and The Bhagavad-Gita.</w:t>
      </w:r>
    </w:p>
    <w:p w:rsidR="00B5220C" w:rsidRPr="00585B1C" w:rsidRDefault="00B5220C" w:rsidP="00B5220C">
      <w:pPr>
        <w:pStyle w:val="PlainText"/>
        <w:rPr>
          <w:sz w:val="24"/>
          <w:szCs w:val="24"/>
        </w:rPr>
      </w:pPr>
    </w:p>
    <w:p w:rsidR="00B5220C" w:rsidRDefault="00B5220C" w:rsidP="00B5220C">
      <w:pPr>
        <w:pStyle w:val="PlainText"/>
      </w:pPr>
    </w:p>
    <w:p w:rsidR="00B5220C" w:rsidRPr="00585B1C" w:rsidRDefault="00B5220C" w:rsidP="00B5220C">
      <w:pPr>
        <w:rPr>
          <w:rFonts w:asciiTheme="minorHAnsi" w:hAnsiTheme="minorHAnsi"/>
        </w:rPr>
      </w:pPr>
      <w:r w:rsidRPr="00585B1C">
        <w:rPr>
          <w:rFonts w:asciiTheme="minorHAnsi" w:hAnsiTheme="minorHAnsi"/>
        </w:rPr>
        <w:t>Many of the reading discuss the role of laws in the construction of society in order to ensure order. However, other readings have indicated moments in which laws were oppressive or otherwise inappropriate. Discuss the advantage and disadvantages of laws in the pursuit of the Good Life in two readings. Possible readings include: The Declaration of the Rights of Man and of the Citizen, The Original Position, Antigone, Letter from the Birmingham Jail, The Prisoner who Wore Glasses, and excerpts from Walden.</w:t>
      </w:r>
    </w:p>
    <w:p w:rsidR="00B5220C" w:rsidRDefault="00B5220C">
      <w:pPr>
        <w:spacing w:line="480" w:lineRule="auto"/>
        <w:rPr>
          <w:rFonts w:hint="eastAsia"/>
        </w:rPr>
      </w:pPr>
      <w:bookmarkStart w:id="0" w:name="_GoBack"/>
      <w:bookmarkEnd w:id="0"/>
    </w:p>
    <w:sectPr w:rsidR="00B5220C">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2"/>
  </w:compat>
  <w:rsids>
    <w:rsidRoot w:val="0027173F"/>
    <w:rsid w:val="001420AD"/>
    <w:rsid w:val="0027173F"/>
    <w:rsid w:val="00B349E3"/>
    <w:rsid w:val="00B5220C"/>
    <w:rsid w:val="00B7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C2F9"/>
  <w15:docId w15:val="{C0294DE9-2E41-40B8-A4A1-3E7D2B52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PlainText">
    <w:name w:val="Plain Text"/>
    <w:basedOn w:val="Normal"/>
    <w:link w:val="PlainTextChar"/>
    <w:uiPriority w:val="99"/>
    <w:semiHidden/>
    <w:unhideWhenUsed/>
    <w:rsid w:val="00B5220C"/>
    <w:pPr>
      <w:widowControl/>
      <w:suppressAutoHyphens w:val="0"/>
    </w:pPr>
    <w:rPr>
      <w:rFonts w:ascii="Calibri" w:eastAsiaTheme="minorHAnsi" w:hAnsi="Calibri" w:cstheme="minorBidi"/>
      <w:color w:val="auto"/>
      <w:sz w:val="22"/>
      <w:szCs w:val="21"/>
      <w:lang w:eastAsia="en-US" w:bidi="ar-SA"/>
    </w:rPr>
  </w:style>
  <w:style w:type="character" w:customStyle="1" w:styleId="PlainTextChar">
    <w:name w:val="Plain Text Char"/>
    <w:basedOn w:val="DefaultParagraphFont"/>
    <w:link w:val="PlainText"/>
    <w:uiPriority w:val="99"/>
    <w:semiHidden/>
    <w:rsid w:val="00B5220C"/>
    <w:rPr>
      <w:rFonts w:ascii="Calibri" w:eastAsiaTheme="minorHAnsi" w:hAnsi="Calibri" w:cstheme="minorBidi"/>
      <w:sz w:val="22"/>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Kesling,Willard Ray,JR</cp:lastModifiedBy>
  <cp:revision>3</cp:revision>
  <dcterms:created xsi:type="dcterms:W3CDTF">2014-08-03T10:17:00Z</dcterms:created>
  <dcterms:modified xsi:type="dcterms:W3CDTF">2018-06-04T18:23:00Z</dcterms:modified>
  <dc:language>en-US</dc:language>
</cp:coreProperties>
</file>